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5D" w:rsidRDefault="00781F8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Barna Gábor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1. 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r w:rsidR="009C6C9F">
        <w:rPr>
          <w:rFonts w:ascii="Times New Roman" w:eastAsia="Times New Roman" w:hAnsi="Times New Roman" w:cs="Times New Roman"/>
          <w:color w:val="000000"/>
          <w:sz w:val="24"/>
          <w:szCs w:val="24"/>
        </w:rPr>
        <w:t>Az Oltáriszentség (Eucharisztia) tisztelete a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o-</w:t>
      </w:r>
      <w:r w:rsidR="009C6C9F">
        <w:rPr>
          <w:rFonts w:ascii="Times New Roman" w:eastAsia="Times New Roman" w:hAnsi="Times New Roman" w:cs="Times New Roman"/>
          <w:color w:val="000000"/>
          <w:sz w:val="24"/>
          <w:szCs w:val="24"/>
        </w:rPr>
        <w:t>i vallási kultúrában</w:t>
      </w:r>
    </w:p>
    <w:p w:rsidR="009E095D" w:rsidRDefault="009E09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Gyűjtési útmutató</w:t>
      </w:r>
    </w:p>
    <w:p w:rsidR="009E095D" w:rsidRDefault="009E09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kereszténység több felekezetre szakadását a 16. században a 19. századi történettudomány, egyháztörténet a reformáció és ellenreformáció korszakának nevezte. Az 1970-es években a modernizációs elméleten alapuló társadalomtörténet bevezette a felekezetese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dés (konfesszionalizálódás) fogalmát, ami új szemléletével a vallást ismét a társadalom- és egyháztörténeti kutatás fontos területévé emelte.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konfesszionalizálódás minden felekezetben funkcionálisan hasonló folyamatokat indított el: egy mágikus jellegű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világkép visszaszorult egy vallásos hittudással szemben. A hittudás iskolázott papságot kívánt meg a katekézis és a lelkipásztorkodás számára. Ám a keresztény tanítás értelmezési különbségei lehetővé tették a nyugati kereszténységnek többféle felekezetbe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agolódását. A felekezetileg egységesített hittudás kialakította a maga sajátos, egyetemesen érthető és alkalmazható jeleit, szimbólumait és tárgyait (kereszt, ostya, kehely, Szentírás, papi viselet stb.).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Alapvetővé vált a vasárnapi istentiszteleten részvé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 minden felekezetben, a katolikusoknál a gyakori szentáldozás (communio), a húsvéti szentgyónás és áldozás, és az Úrnapja körmenettel </w:t>
      </w:r>
      <w:r w:rsidR="0078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megünneplése. 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kezdeményezés után  -  Európa számos részén a (fő)oltárokon díszesen kialakított tabernákulumok felállít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ásához vezetett.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templomok új stílusú (barokk) átalakítása a tekintetet a főoltárra és a tabernákulumban őrzött Eucharisztiára irányította (aspectus populi). 1600-tól pápai rendeletek sora szabályozta, hogy az Eucharisztiát az oltáron kell tárolni. Az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630-as és 1633-as nagyszombati zsinatok határozatai a Magyarországon is kötelezővé tették a római miserend követését, ezért elterjedt az oltárokon az oltáriszentségnek helyet adó díszes tabernákulumok készítése. Az oltárépítmény központjában a tabernákulum</w:t>
      </w:r>
      <w:r w:rsidR="00781F89">
        <w:rPr>
          <w:rFonts w:ascii="Times New Roman" w:eastAsia="Times New Roman" w:hAnsi="Times New Roman" w:cs="Times New Roman"/>
          <w:color w:val="000000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zekrény áll, változatos díszítéssel, eucharisztikus szimbólumokkal. 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megerősödött eucharisztikus tisztelet a katolicizmus emblematikus megjelenítése lett. Ez Úrnapja növekvő súlyához vezetett az egyházi évben. Az ünnep összegyűjtötte a közösséget, miala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tt az Eucharisztiát nyilvánosan, egy (gazdagon díszített) úrmutatóban (monstrancia) és ünnepélyes pompával körmenetileg körülhordozták. Az Eucharisztia tiszteletét tehát hangsúlyosan vizualizálták. Fontos eszközei voltak ennek az egyházi gimnáziumok által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előadott úrnapi színjátékok is.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Sajátosan katolikus lett a tisztelet tárgyi kultúrája: az őrzés helye (oltárok, tabernákulumok), a prezentáció kellékanyaga (a készítés eszközei: ostyasütők, szobrok, képek, ötvösmunkák: monstranciák, kelyhek, liturgikus tex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tíliák: velumok, sokszorosított kisgrafika), a tisztelet alkalma és szertartása (Úrnapja, körmenet virágszórással és virágszőnyeggel, nagycsütörtöki virrasztás), a tisztelet verbális és zenei anyaga (énekek, imádságok, folyóiratok)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Középkori alapokon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gújultak vagy létrejöttek az eucharisztikus társulatok, amelyek mögött általában egy-egy innovátor állt. A középkorig visszanyúlóan működtek az eucharisztikus kegyhelyek.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tisztelet megnyilvánulása volt az egész katolikus világban elterjedő Oltáriszentség Társulat (Confraternitas Corporis Christi). A vallási egyesületek feloszlatása (II. József) után az Eucharisztia tisztelete a 19. század közepén újult meg az ún. Oltáregy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esület formájában. A társulat a 19-20. század fordulójára a plébániák harmadában,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20. század közepére a plébániák többségében működött. Az 1940-es évek második felében a létrejövő kommunista diktatúra az Oltáregyesületek működését is betiltotta.</w:t>
      </w:r>
    </w:p>
    <w:p w:rsidR="009E095D" w:rsidRDefault="009E09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 az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Oltáriszentség?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(2-3-4. DIA)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Eucharisztia = hálaadás, amit Jézusnak az utolsó vacsorakor elmondott szavaival hozunk összefüggésbe, amelyekkel megalapította az Oltáriszentséget, s amelyeket a pap minden szentmisében az Úrfelmutatáskor elismétel („kezébe vette a kenyeret, hálát adott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így szólt …”). Egyúttal áldozat és megemlékezés is („ezt cselekedjétek az én emlékezetemre”). Erre részben Nagycsütörtökön, </w:t>
      </w:r>
      <w:r w:rsidR="00781F89">
        <w:rPr>
          <w:rFonts w:ascii="Times New Roman" w:eastAsia="Times New Roman" w:hAnsi="Times New Roman" w:cs="Times New Roman"/>
          <w:color w:val="000000"/>
          <w:sz w:val="24"/>
          <w:szCs w:val="24"/>
        </w:rPr>
        <w:t>részben pedig a pünkösd utáni tizedik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napon, Úrnapján emlékezik az Egyház. (Magyarországon ma ezt a rákövetkező vasárnap tartják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Az Eucharisztia, az Úrvacsora mind a katolikus, mind a protestáns egyházakban szentség, de felekezetileg eltérően értelmezik. Emiatt elsősorban a katolikus vallásra jellemző a tisztelet gazdag és változatos formája.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 a tisztelet megnyilvánult és meg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nyilvánul mind a hivatalos liturgiában, mind azon túl a paraliturgiában, a népi vallásosságban és mindezek gazdag eszköztárában: szövegben, zenében, tárgyi kellékekben, ábrázolásokban, a múltban és a jelenben. </w:t>
      </w:r>
    </w:p>
    <w:p w:rsidR="009E095D" w:rsidRDefault="009E09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Ostya, bor – szent jelek – áldozás, úrvacsor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vétel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(5. DIA)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Első áldozás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felkészülés formája, módja,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(6. DIA)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életkora, jelentősége az egyén számára a visszaemlékezésekben, fényképek,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(7. DIA)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emléklapok, ajándékok, viselete, ajándék a papnak, templomnak 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Áldozás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gyakorisága, böjt és gyónás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előtte, a gyónás és az áldozás kapcsolata, gyónás utáni, áldozás előtti/utáni imák, gesztusok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(8. DIA)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Ostyasütés és ostyasütők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ostyasütő vasak és ábráik (rajz, fotó használat közben is), ostyavágók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Ostyahordás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alapanyagok, a sütés technikája, ki süti, színezik-e az ostyát, ki hordja szét, hányat kap egy család, köszöntő versek, adományok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(9. DIA)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Konfirmálás, első úrvacsora vétel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felkészülés formája, módja, életkora, vizsga, jelentősége az egyén számára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visszaemlékezésekben, fényképek, emléklapok, ajándékok, viselete, ajándék a papnak, templomnak.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(10-11-12-13. DIA)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Úrvacsora vétel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alkalmai, gyakorisága, a szent jelek felajánlása, az úrvacsoravétel sorrendje, a maradék kenyér és bor sorsa. </w:t>
      </w:r>
    </w:p>
    <w:p w:rsidR="009E095D" w:rsidRDefault="009E09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kis szen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tképek eucharisztikus szimbólumai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(14-15. DIA)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Elsősorban a papszentelés, az újmisés, majd a 25, 50 stb. éves papi jubileumok kis szentképei és azok jelképei. Fotón, szkennelve. A kis szentképek szövegei. Egyéb alkalmai szentképek: az 1938-as budapesti 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mzetközi Eucharisztikus Kongresszus szentképei és eseményei, szimbólumai. Részvétel a budapesti eseményeken. Helybeli események. A kongresszus tárgyi emlékei. Kongresszus a helyi sajtóban. </w:t>
      </w:r>
    </w:p>
    <w:p w:rsidR="009E095D" w:rsidRDefault="009E09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Énekek és imádságok az Oltáriszentségről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(16. DIA)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egyházközségben használt, s az Oltáriszentségről szóló énekek. Magnófelvétel. Nyomtatott és kéziratos énekes- és imádságos könyvek. Ponyvák imádságai, énekei, grafikai ábrái. Az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Örökimádás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című könyv és ismertsége, használata.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Reményünk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című folyóirat ismertsége és használata.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(17-18. DIA)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ún. csütörtöki könyv: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Krisztus Jézus vérrel verítékezésének kis offíciuma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szentségimádás alkalmai, módja, énekei és imádságai. </w:t>
      </w:r>
    </w:p>
    <w:p w:rsidR="009E095D" w:rsidRDefault="009E09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Áhítatok, a tisztelet formái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(19. DIA)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szentségimádás alkalmai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módja, énekei és imádságai. A nagyböjti csütörtökök áhítatai. Felnőttek és gyermekek a kultusz szolgálatában: baldachin/superlát vivő férfiak, fáklyás férfiak, viseletük, jelvényeik, szerveződésük, a füstölőt vivő ministránsok, betanításuk a liturgia szo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lgálatára.</w:t>
      </w:r>
    </w:p>
    <w:p w:rsidR="009E095D" w:rsidRDefault="009E09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liturgia tárgyi kellékei az Oltáriszentség tiszteletének szolgálatában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(20-21. DIA)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Örökmécs, ötvösmunkák (kehely, cibórium, monstrancia, patena, stb.) és textíliák (korporale [a kehely alatti keményített textília], palla [kehelytakaró], pur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ificatórium [törlőkendő], vélum) a kultuszban. Anyaguk, kezelésük, mosásuk, vasalásuk. Tisztántartásuk. (Itt a plébániai irattár leltáraihoz is kell fordulni, kanonika vizitációs jegyzőkönyvekhez, egyéb iratokhoz a tárgyak beszerzése és javítása ügyében!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múgy a sekrestyéssel interjú!) </w:t>
      </w:r>
    </w:p>
    <w:p w:rsidR="009E095D" w:rsidRDefault="009E09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Oltár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(22-24. DIA)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oltár az utolsó vacsora asztala. Az oltár Krisztus, az oltárterítő pedig Krisztus halotti leple. Az oltár leírása, fényképe, rajza, az ábrázolt szentek bemutatása. Készítője: asztalos, festő. A tabern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ákulum és ajtajának szimbólumai. A tabernákulum takaró konopeum (szúnyogháló szerű textil sátor). Oltárterítők anyaguk és szimbólumaik. Hímzések az oltárterítőkön, egyáltalán oltárnál használt textíliákon. Vannak-e helyi, vagy általában népi hímzésminták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zeken?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Oltárdíszítés. Virágok, színek, szimbólumok – jelentésük. Gyertyatartók és kellékeik.</w:t>
      </w:r>
    </w:p>
    <w:p w:rsidR="009E095D" w:rsidRDefault="009E09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Oltáregyletek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(25. DIA)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 működése, ha van. Megalakulása, szerepe. (Plébániai és egyházmegyei levéltár, irattár, folyóiratok, újságok.) Tagság, tisztségviselők, tisztújítás, jegyzőkönyvek.</w:t>
      </w:r>
    </w:p>
    <w:p w:rsidR="009E095D" w:rsidRDefault="009E09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Úrnapja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(26-27. DIA)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Körmenet és sátrai/oltárai. Készítők, előkészületek. Virág és zöld gally, virágszirom gyűjtés. Virágszirom szórás, virágszőnyeg készítés. Virágszirom szórók és virágszőnyeg építők. Hordozó</w:t>
      </w:r>
      <w:r w:rsidR="0078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szobrok és hordozóik: máriás lá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nyok és legények, Mária-dajka. Fákl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yások – beosztásuk, egyesületi formák. Baldachin és hordozói. A hordozók beosztási rendje. A sátor/oltár lombjának, virágjának sorsa a körmenet után. </w:t>
      </w:r>
    </w:p>
    <w:p w:rsidR="009E095D" w:rsidRDefault="009E09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Eucharisztikus kegyhelyek 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(28-29. DIA)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Átváltozásról szóló viták 12-14. század – Lüttichi Szent Julian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látomása – Úrnapja elrendelése – Szent Vér és vérző ostya csodák</w:t>
      </w:r>
    </w:p>
    <w:p w:rsidR="009E095D" w:rsidRDefault="009E09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Viselkedés az Oltáriszentség jelenlétében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Gesztusok. Térdhajtás, felállás. </w:t>
      </w:r>
    </w:p>
    <w:p w:rsidR="009E095D" w:rsidRDefault="009E09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Források, kutatási technikák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(30. DIA)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kutatott témakör forrásai és a kutatási technikák ezért sokfélék: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árgyak, levél- és irattári dokumentumok, sajtótermékek, interjúk, visszaemlékezések, régi és újabb fényképek, hangfelvételek, a résztvevő megfigyelés részletes dokumentációja.</w:t>
      </w:r>
    </w:p>
    <w:p w:rsidR="009E095D" w:rsidRDefault="009E09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E095D" w:rsidSect="009E095D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9F" w:rsidRDefault="009C6C9F" w:rsidP="009E095D">
      <w:pPr>
        <w:spacing w:after="0" w:line="240" w:lineRule="auto"/>
      </w:pPr>
      <w:r>
        <w:separator/>
      </w:r>
    </w:p>
  </w:endnote>
  <w:endnote w:type="continuationSeparator" w:id="0">
    <w:p w:rsidR="009C6C9F" w:rsidRDefault="009C6C9F" w:rsidP="009E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9F" w:rsidRDefault="009C6C9F" w:rsidP="009E095D">
      <w:pPr>
        <w:spacing w:after="0" w:line="240" w:lineRule="auto"/>
      </w:pPr>
      <w:r>
        <w:separator/>
      </w:r>
    </w:p>
  </w:footnote>
  <w:footnote w:type="continuationSeparator" w:id="0">
    <w:p w:rsidR="009C6C9F" w:rsidRDefault="009C6C9F" w:rsidP="009E095D">
      <w:pPr>
        <w:spacing w:after="0" w:line="240" w:lineRule="auto"/>
      </w:pPr>
      <w:r>
        <w:continuationSeparator/>
      </w:r>
    </w:p>
  </w:footnote>
  <w:footnote w:id="1"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Wolfgang Reinhard, Heinz Schilling (Hrsg.):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Die katholische Konfessionalisierung. Wissenschaftliches Symposium der Gesellschaft zur Herausgabe des Corpus Catholicorum und des Vereins für Reformationsgeschichte.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Münster 1995.; Bahlcke, Joachim – Strohmeyer, Arno (Hrsg.):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Konfessionalisierung in Ostmi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tteleuropa: Wirkungen des religiösen Wandels im 16. und 17. Jahrhundert in Staat, Gesellschaft und Kultur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(Forschungen zur Geschichte und Kultur des östlichen Europa 7.) Stuttgart, 1999.</w:t>
      </w:r>
    </w:p>
  </w:footnote>
  <w:footnote w:id="2"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Guinomet, Claire: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Das italienische Sakramentstabernakel im 16. Jah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rhundert - Tempietto-Architekturen en miniature zur Aufbewahrung der Eucharistie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München, Hirmer Verlag, 2017.</w:t>
      </w:r>
    </w:p>
  </w:footnote>
  <w:footnote w:id="3"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Hermann Kurzke: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Kirchenlied und Kultur. Studien und Standortbestimmungen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Mainz, Francke Verlag 2010. </w:t>
      </w:r>
      <w:hyperlink r:id="rId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Mainzer Hymnologische Studien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Band 24</w:t>
      </w:r>
    </w:p>
  </w:footnote>
  <w:footnote w:id="4">
    <w:p w:rsidR="009E095D" w:rsidRDefault="009C6C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Pásztor Lajos: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 magyarság vallásos élete a Jagellók korában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Budapest, 1940. </w:t>
      </w:r>
    </w:p>
  </w:footnote>
  <w:footnote w:id="5">
    <w:p w:rsidR="009E095D" w:rsidRDefault="009C6C9F">
      <w:pPr>
        <w:pStyle w:val="normal"/>
        <w:spacing w:after="0" w:line="240" w:lineRule="auto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Tóth Szabolcs: Oltáregyletek Háromszéken.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Acta Siculica 2008</w:t>
      </w:r>
      <w:r>
        <w:rPr>
          <w:rFonts w:ascii="Times New Roman" w:eastAsia="Times New Roman" w:hAnsi="Times New Roman" w:cs="Times New Roman"/>
          <w:sz w:val="20"/>
          <w:szCs w:val="20"/>
        </w:rPr>
        <w:t>, 391–400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95D"/>
    <w:rsid w:val="00781F89"/>
    <w:rsid w:val="009C6C9F"/>
    <w:rsid w:val="009E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9E09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9E09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9E09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9E09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9E095D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9E09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9E095D"/>
  </w:style>
  <w:style w:type="table" w:customStyle="1" w:styleId="TableNormal">
    <w:name w:val="Table Normal"/>
    <w:rsid w:val="009E09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9E095D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9E09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ologische-buchhandlung.de/mainzhy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5956-3633-42B9-808B-E04133E9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1162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2018-06-27T12:19:00Z</dcterms:created>
  <dcterms:modified xsi:type="dcterms:W3CDTF">2018-06-27T12:19:00Z</dcterms:modified>
</cp:coreProperties>
</file>